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47" w:rsidRDefault="00193A0D" w:rsidP="007A5C47">
      <w:pPr>
        <w:jc w:val="center"/>
        <w:rPr>
          <w:rFonts w:ascii="Arial" w:hAnsi="Arial" w:cs="Arial"/>
          <w:b/>
          <w:noProof/>
          <w:sz w:val="28"/>
          <w:szCs w:val="28"/>
          <w:lang w:eastAsia="en-CA"/>
        </w:rPr>
      </w:pPr>
      <w:r w:rsidRPr="00AD6458">
        <w:rPr>
          <w:rFonts w:ascii="Arial" w:hAnsi="Arial" w:cs="Arial"/>
          <w:b/>
          <w:noProof/>
          <w:lang w:eastAsia="en-CA"/>
        </w:rPr>
        <w:drawing>
          <wp:anchor distT="0" distB="0" distL="114300" distR="114300" simplePos="0" relativeHeight="251659264" behindDoc="1" locked="0" layoutInCell="1" allowOverlap="1" wp14:anchorId="7E4A4335" wp14:editId="02013A00">
            <wp:simplePos x="0" y="0"/>
            <wp:positionH relativeFrom="margin">
              <wp:align>center</wp:align>
            </wp:positionH>
            <wp:positionV relativeFrom="paragraph">
              <wp:posOffset>-360045</wp:posOffset>
            </wp:positionV>
            <wp:extent cx="3883025" cy="1586983"/>
            <wp:effectExtent l="0" t="0" r="3175" b="0"/>
            <wp:wrapNone/>
            <wp:docPr id="2" name="Picture 2" descr="E:\CNIB\Screen Shot 2018-07-31 at 8.20.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NIB\Screen Shot 2018-07-31 at 8.20.54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3025" cy="15869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3A0D" w:rsidRDefault="00193A0D" w:rsidP="007A5C47">
      <w:pPr>
        <w:jc w:val="center"/>
        <w:rPr>
          <w:rFonts w:ascii="Arial" w:hAnsi="Arial" w:cs="Arial"/>
          <w:b/>
          <w:sz w:val="28"/>
          <w:szCs w:val="28"/>
        </w:rPr>
      </w:pPr>
    </w:p>
    <w:p w:rsidR="00193A0D" w:rsidRDefault="00193A0D" w:rsidP="007A5C47">
      <w:pPr>
        <w:jc w:val="center"/>
        <w:rPr>
          <w:rFonts w:ascii="Arial" w:hAnsi="Arial" w:cs="Arial"/>
          <w:b/>
          <w:sz w:val="28"/>
          <w:szCs w:val="28"/>
        </w:rPr>
      </w:pPr>
    </w:p>
    <w:p w:rsidR="00193A0D" w:rsidRDefault="00193A0D" w:rsidP="007A5C47">
      <w:pPr>
        <w:jc w:val="center"/>
        <w:rPr>
          <w:rFonts w:ascii="Arial" w:hAnsi="Arial" w:cs="Arial"/>
          <w:b/>
          <w:sz w:val="28"/>
          <w:szCs w:val="28"/>
        </w:rPr>
      </w:pPr>
    </w:p>
    <w:p w:rsidR="005A1AEB" w:rsidRDefault="005A1AEB" w:rsidP="007A5C47">
      <w:pPr>
        <w:jc w:val="center"/>
        <w:rPr>
          <w:rFonts w:ascii="Arial" w:hAnsi="Arial" w:cs="Arial"/>
          <w:b/>
          <w:sz w:val="28"/>
          <w:szCs w:val="28"/>
        </w:rPr>
      </w:pPr>
    </w:p>
    <w:p w:rsidR="003B6144" w:rsidRPr="003A29D5" w:rsidRDefault="003B6144" w:rsidP="003B6144">
      <w:pPr>
        <w:pStyle w:val="Default"/>
        <w:widowControl w:val="0"/>
        <w:jc w:val="center"/>
      </w:pPr>
      <w:r>
        <w:rPr>
          <w:b/>
          <w:bCs/>
        </w:rPr>
        <w:t>Phone it Forward Corporate Donation Agreement</w:t>
      </w:r>
    </w:p>
    <w:p w:rsidR="003B6144" w:rsidRDefault="003B6144" w:rsidP="003B6144">
      <w:pPr>
        <w:pStyle w:val="Default"/>
        <w:widowControl w:val="0"/>
        <w:jc w:val="center"/>
        <w:rPr>
          <w:b/>
          <w:bCs/>
        </w:rPr>
      </w:pPr>
    </w:p>
    <w:p w:rsidR="003B6144" w:rsidRPr="003A29D5" w:rsidRDefault="003B6144" w:rsidP="003B6144">
      <w:pPr>
        <w:pStyle w:val="Default"/>
        <w:widowControl w:val="0"/>
        <w:spacing w:line="276" w:lineRule="auto"/>
      </w:pPr>
    </w:p>
    <w:p w:rsidR="003B6144" w:rsidRDefault="003B6144" w:rsidP="003B6144">
      <w:pPr>
        <w:pStyle w:val="Default"/>
        <w:widowControl w:val="0"/>
        <w:spacing w:line="276" w:lineRule="auto"/>
      </w:pPr>
      <w:r>
        <w:t>This Charitable Donation Agreement (this “Agreement”) is made and entered into as of _____________ (the "Effective Date”), by and between ___________ (the “Company") and the Canadian National Institute for the Blind (the “CNIB”), for a charitable donation as described herein (the</w:t>
      </w:r>
    </w:p>
    <w:p w:rsidR="003B6144" w:rsidRDefault="003B6144" w:rsidP="003B6144">
      <w:pPr>
        <w:pStyle w:val="Default"/>
        <w:widowControl w:val="0"/>
        <w:spacing w:line="276" w:lineRule="auto"/>
      </w:pPr>
      <w:r>
        <w:t>"Contribution"). The purpose of this Agreement is to set forth the terms and conditions pursuant to which the Company shall provide and the CNIB shall receive the Contribution.</w:t>
      </w:r>
    </w:p>
    <w:p w:rsidR="003B6144" w:rsidRDefault="003B6144" w:rsidP="003B6144">
      <w:pPr>
        <w:pStyle w:val="Default"/>
        <w:widowControl w:val="0"/>
        <w:spacing w:line="276" w:lineRule="auto"/>
        <w:rPr>
          <w:b/>
          <w:bCs/>
        </w:rPr>
      </w:pPr>
    </w:p>
    <w:p w:rsidR="003B6144" w:rsidRPr="003A29D5" w:rsidRDefault="003B6144" w:rsidP="003B6144">
      <w:pPr>
        <w:pStyle w:val="Default"/>
        <w:widowControl w:val="0"/>
        <w:spacing w:line="276" w:lineRule="auto"/>
      </w:pPr>
      <w:r>
        <w:rPr>
          <w:b/>
          <w:bCs/>
        </w:rPr>
        <w:t>Background</w:t>
      </w:r>
    </w:p>
    <w:p w:rsidR="003B6144" w:rsidRDefault="003B6144" w:rsidP="003B6144">
      <w:pPr>
        <w:pStyle w:val="Default"/>
        <w:widowControl w:val="0"/>
        <w:spacing w:line="276" w:lineRule="auto"/>
      </w:pPr>
      <w:r>
        <w:t xml:space="preserve">The CNIB is a charitable organization based in Canada, </w:t>
      </w:r>
      <w:r w:rsidRPr="007F326B">
        <w:t>Charitable Registration Number: 119219459 RR0003</w:t>
      </w:r>
      <w:r>
        <w:t>. The CNIB is seeking support for their Phone it Forward program, a program that provides life-changing smartphones to people with vision loss who need them.</w:t>
      </w:r>
      <w:r w:rsidRPr="007F326B">
        <w:t xml:space="preserve"> </w:t>
      </w:r>
      <w:r>
        <w:t>The Company desires to support the CNIB through its Contribution.</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rsidRPr="007F326B">
        <w:t>The parties hereto agree as follows:</w:t>
      </w:r>
      <w:r w:rsidRPr="007F326B">
        <w:cr/>
      </w:r>
    </w:p>
    <w:p w:rsidR="003B6144" w:rsidRDefault="003B6144" w:rsidP="003B6144">
      <w:pPr>
        <w:pStyle w:val="Default"/>
        <w:widowControl w:val="0"/>
        <w:spacing w:line="276" w:lineRule="auto"/>
      </w:pPr>
      <w:r>
        <w:t>1. The Company shall donate used smart phones to CNIB, as detailed in Exhibit A, which shall be accepted and used by the CNIB consistent with its charitable Phone it Forward program.</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t>2. At a mutually acceptable time and date, but not later than 30 days after the Effective Date, the CNIB will, at the CNIB’s sole cost, expense and risk, accept the Contribution, as identified in Exhibit A to this Agreement, from the Company's offices.</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t>3. Effective upon the CNIB’s acceptance of the Contribution, the Company hereby transfers, assigns and conveys to the CNIB all of the Company’s right, title and interest in and to the Contribution.</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t xml:space="preserve">4. </w:t>
      </w:r>
      <w:proofErr w:type="gramStart"/>
      <w:r>
        <w:t>Upon</w:t>
      </w:r>
      <w:proofErr w:type="gramEnd"/>
      <w:r>
        <w:t xml:space="preserve"> arrival of the Contribution at the CNIB’s designated processing facility, the CNIB will:-</w:t>
      </w:r>
    </w:p>
    <w:p w:rsidR="003B6144" w:rsidRDefault="003B6144" w:rsidP="003B6144">
      <w:pPr>
        <w:pStyle w:val="Default"/>
        <w:widowControl w:val="0"/>
        <w:numPr>
          <w:ilvl w:val="0"/>
          <w:numId w:val="2"/>
        </w:numPr>
        <w:spacing w:line="276" w:lineRule="auto"/>
      </w:pPr>
      <w:r>
        <w:t xml:space="preserve">Power on device. If device does not power on, log device with product </w:t>
      </w:r>
      <w:r>
        <w:lastRenderedPageBreak/>
        <w:t>identification and condition, then advance the device to recycling.</w:t>
      </w:r>
    </w:p>
    <w:p w:rsidR="003B6144" w:rsidRDefault="003B6144" w:rsidP="003B6144">
      <w:pPr>
        <w:pStyle w:val="Default"/>
        <w:widowControl w:val="0"/>
        <w:numPr>
          <w:ilvl w:val="0"/>
          <w:numId w:val="2"/>
        </w:numPr>
        <w:spacing w:line="276" w:lineRule="auto"/>
      </w:pPr>
      <w:r>
        <w:t>Using software application; check that device does not appear on the list of lost or stolen devices. If device is identified as lost or stolen, quarantine device and advise Company for direction.</w:t>
      </w:r>
    </w:p>
    <w:p w:rsidR="003B6144" w:rsidRDefault="003B6144" w:rsidP="003B6144">
      <w:pPr>
        <w:pStyle w:val="Default"/>
        <w:widowControl w:val="0"/>
        <w:numPr>
          <w:ilvl w:val="0"/>
          <w:numId w:val="2"/>
        </w:numPr>
        <w:spacing w:line="276" w:lineRule="auto"/>
      </w:pPr>
      <w:r>
        <w:t xml:space="preserve">Perform data-wiping on devices*. Software captures erasure key statistics, date/time, and associated IMEI. Devices with passcodes, </w:t>
      </w:r>
      <w:proofErr w:type="gramStart"/>
      <w:r>
        <w:t>locks</w:t>
      </w:r>
      <w:proofErr w:type="gramEnd"/>
      <w:r>
        <w:t xml:space="preserve"> and other security protocols that prohibit data-wiping will be quarantined and reported to Company.</w:t>
      </w:r>
    </w:p>
    <w:p w:rsidR="003B6144" w:rsidRDefault="003B6144" w:rsidP="003B6144">
      <w:pPr>
        <w:pStyle w:val="Default"/>
        <w:widowControl w:val="0"/>
        <w:numPr>
          <w:ilvl w:val="0"/>
          <w:numId w:val="2"/>
        </w:numPr>
        <w:spacing w:line="276" w:lineRule="auto"/>
      </w:pPr>
      <w:r>
        <w:t>Appraise the device for wholesale value.</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t>5.  After processing of the Contribution, CNIB will provide a report detailing the devices included in the Contribution, as well as a tax receipt for the appraised value of the Contribution, if required, as per Canada Revenue Guidelines.</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t>*Proof of data wiping can be provided if required by the Company.</w:t>
      </w: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p>
    <w:p w:rsidR="003B6144" w:rsidRDefault="003B6144" w:rsidP="003B6144">
      <w:pPr>
        <w:pStyle w:val="Default"/>
        <w:widowControl w:val="0"/>
        <w:spacing w:line="276" w:lineRule="auto"/>
      </w:pPr>
      <w:r w:rsidRPr="00B63E39">
        <w:rPr>
          <w:b/>
        </w:rPr>
        <w:t>IN WITNESS WHEREOF</w:t>
      </w:r>
      <w:r>
        <w:t>, the parties have signed and thereby caused this Agreement to be duly executed effective as of the date written above.</w:t>
      </w:r>
    </w:p>
    <w:p w:rsidR="003B6144" w:rsidRDefault="003B6144" w:rsidP="003B6144">
      <w:pPr>
        <w:pStyle w:val="Default"/>
        <w:widowControl w:val="0"/>
        <w:spacing w:line="276" w:lineRule="auto"/>
        <w:rPr>
          <w:b/>
          <w:bCs/>
        </w:rPr>
      </w:pPr>
    </w:p>
    <w:p w:rsidR="003B6144" w:rsidRPr="00B63E39" w:rsidRDefault="003B6144" w:rsidP="003B6144">
      <w:pPr>
        <w:pStyle w:val="Default"/>
        <w:widowControl w:val="0"/>
        <w:spacing w:line="276" w:lineRule="auto"/>
        <w:rPr>
          <w:b/>
          <w:bCs/>
        </w:rPr>
      </w:pPr>
      <w:r w:rsidRPr="00B63E39">
        <w:rPr>
          <w:b/>
          <w:bCs/>
        </w:rPr>
        <w:t xml:space="preserve">COMPANY </w:t>
      </w:r>
      <w:r>
        <w:rPr>
          <w:b/>
          <w:bCs/>
        </w:rPr>
        <w:tab/>
      </w:r>
      <w:r>
        <w:rPr>
          <w:b/>
          <w:bCs/>
        </w:rPr>
        <w:tab/>
      </w:r>
      <w:r>
        <w:rPr>
          <w:b/>
          <w:bCs/>
        </w:rPr>
        <w:tab/>
      </w:r>
      <w:r>
        <w:rPr>
          <w:b/>
          <w:bCs/>
        </w:rPr>
        <w:tab/>
      </w:r>
      <w:r>
        <w:rPr>
          <w:b/>
          <w:bCs/>
        </w:rPr>
        <w:tab/>
      </w:r>
      <w:r>
        <w:rPr>
          <w:b/>
          <w:bCs/>
        </w:rPr>
        <w:tab/>
        <w:t>CNIB</w:t>
      </w:r>
    </w:p>
    <w:p w:rsidR="003B6144" w:rsidRPr="00B63E39" w:rsidRDefault="003B6144" w:rsidP="003B6144">
      <w:pPr>
        <w:pStyle w:val="Default"/>
        <w:widowControl w:val="0"/>
        <w:spacing w:line="276" w:lineRule="auto"/>
        <w:rPr>
          <w:b/>
          <w:bCs/>
        </w:rPr>
      </w:pPr>
      <w:r w:rsidRPr="00B63E39">
        <w:rPr>
          <w:b/>
          <w:bCs/>
        </w:rPr>
        <w:t>By: __________________</w:t>
      </w:r>
      <w:r>
        <w:rPr>
          <w:b/>
          <w:bCs/>
        </w:rPr>
        <w:tab/>
        <w:t>____</w:t>
      </w:r>
      <w:r>
        <w:rPr>
          <w:b/>
          <w:bCs/>
        </w:rPr>
        <w:tab/>
      </w:r>
      <w:r>
        <w:rPr>
          <w:b/>
          <w:bCs/>
        </w:rPr>
        <w:tab/>
      </w:r>
      <w:proofErr w:type="gramStart"/>
      <w:r w:rsidRPr="00B63E39">
        <w:rPr>
          <w:b/>
          <w:bCs/>
        </w:rPr>
        <w:t>By</w:t>
      </w:r>
      <w:proofErr w:type="gramEnd"/>
      <w:r w:rsidRPr="00B63E39">
        <w:rPr>
          <w:b/>
          <w:bCs/>
        </w:rPr>
        <w:t>: ______________________</w:t>
      </w:r>
    </w:p>
    <w:p w:rsidR="003B6144" w:rsidRDefault="003B6144" w:rsidP="003B6144">
      <w:pPr>
        <w:pStyle w:val="Default"/>
        <w:widowControl w:val="0"/>
        <w:spacing w:line="276" w:lineRule="auto"/>
        <w:rPr>
          <w:b/>
          <w:bCs/>
        </w:rPr>
      </w:pPr>
    </w:p>
    <w:p w:rsidR="003B6144" w:rsidRPr="00B63E39" w:rsidRDefault="003B6144" w:rsidP="003B6144">
      <w:pPr>
        <w:pStyle w:val="Default"/>
        <w:widowControl w:val="0"/>
        <w:spacing w:line="276" w:lineRule="auto"/>
        <w:rPr>
          <w:b/>
          <w:bCs/>
        </w:rPr>
      </w:pPr>
      <w:r w:rsidRPr="00B63E39">
        <w:rPr>
          <w:b/>
          <w:bCs/>
        </w:rPr>
        <w:t>Name: ________________</w:t>
      </w:r>
      <w:r>
        <w:rPr>
          <w:b/>
          <w:bCs/>
        </w:rPr>
        <w:t>___</w:t>
      </w:r>
      <w:r>
        <w:rPr>
          <w:b/>
          <w:bCs/>
        </w:rPr>
        <w:tab/>
      </w:r>
      <w:r>
        <w:rPr>
          <w:b/>
          <w:bCs/>
        </w:rPr>
        <w:tab/>
      </w:r>
      <w:r w:rsidRPr="00B63E39">
        <w:rPr>
          <w:b/>
          <w:bCs/>
        </w:rPr>
        <w:t>Name: ___________________</w:t>
      </w:r>
    </w:p>
    <w:p w:rsidR="003B6144" w:rsidRDefault="003B6144" w:rsidP="003B6144">
      <w:pPr>
        <w:pStyle w:val="Default"/>
        <w:widowControl w:val="0"/>
        <w:spacing w:line="276" w:lineRule="auto"/>
        <w:rPr>
          <w:b/>
          <w:bCs/>
        </w:rPr>
      </w:pPr>
    </w:p>
    <w:p w:rsidR="003B6144" w:rsidRPr="00B63E39" w:rsidRDefault="003B6144" w:rsidP="003B6144">
      <w:pPr>
        <w:pStyle w:val="Default"/>
        <w:widowControl w:val="0"/>
        <w:spacing w:line="276" w:lineRule="auto"/>
        <w:rPr>
          <w:b/>
          <w:bCs/>
        </w:rPr>
      </w:pPr>
      <w:r w:rsidRPr="00B63E39">
        <w:rPr>
          <w:b/>
          <w:bCs/>
        </w:rPr>
        <w:t>Title: _________________</w:t>
      </w:r>
      <w:r>
        <w:rPr>
          <w:b/>
          <w:bCs/>
        </w:rPr>
        <w:t>___</w:t>
      </w:r>
      <w:r w:rsidRPr="00B63E39">
        <w:rPr>
          <w:b/>
          <w:bCs/>
        </w:rPr>
        <w:t xml:space="preserve"> </w:t>
      </w:r>
      <w:r>
        <w:rPr>
          <w:b/>
          <w:bCs/>
        </w:rPr>
        <w:tab/>
      </w:r>
      <w:r>
        <w:rPr>
          <w:b/>
          <w:bCs/>
        </w:rPr>
        <w:tab/>
      </w:r>
      <w:r w:rsidRPr="00B63E39">
        <w:rPr>
          <w:b/>
          <w:bCs/>
        </w:rPr>
        <w:t>Title: ____________________</w:t>
      </w: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r w:rsidRPr="00B63E39">
        <w:rPr>
          <w:b/>
          <w:bCs/>
        </w:rPr>
        <w:t>Date: _________________</w:t>
      </w:r>
      <w:r>
        <w:rPr>
          <w:b/>
          <w:bCs/>
        </w:rPr>
        <w:t>___</w:t>
      </w:r>
      <w:r w:rsidRPr="00B63E39">
        <w:rPr>
          <w:b/>
          <w:bCs/>
        </w:rPr>
        <w:t xml:space="preserve"> </w:t>
      </w:r>
      <w:r>
        <w:rPr>
          <w:b/>
          <w:bCs/>
        </w:rPr>
        <w:tab/>
      </w:r>
      <w:r>
        <w:rPr>
          <w:b/>
          <w:bCs/>
        </w:rPr>
        <w:tab/>
      </w:r>
      <w:r w:rsidRPr="00B63E39">
        <w:rPr>
          <w:b/>
          <w:bCs/>
        </w:rPr>
        <w:t>Date: ____________________</w:t>
      </w: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jc w:val="center"/>
        <w:rPr>
          <w:b/>
          <w:bCs/>
        </w:rPr>
      </w:pPr>
    </w:p>
    <w:p w:rsidR="003B6144" w:rsidRDefault="003B6144" w:rsidP="003B6144">
      <w:pPr>
        <w:pStyle w:val="Default"/>
        <w:widowControl w:val="0"/>
        <w:spacing w:line="276" w:lineRule="auto"/>
        <w:jc w:val="center"/>
        <w:rPr>
          <w:b/>
          <w:bCs/>
        </w:rPr>
      </w:pPr>
    </w:p>
    <w:p w:rsidR="003B6144" w:rsidRDefault="003B6144" w:rsidP="003B6144">
      <w:pPr>
        <w:pStyle w:val="Default"/>
        <w:widowControl w:val="0"/>
        <w:spacing w:line="276" w:lineRule="auto"/>
        <w:jc w:val="center"/>
        <w:rPr>
          <w:b/>
          <w:bCs/>
        </w:rPr>
      </w:pPr>
    </w:p>
    <w:p w:rsidR="003B6144" w:rsidRDefault="003B6144" w:rsidP="003B6144">
      <w:pPr>
        <w:pStyle w:val="Default"/>
        <w:widowControl w:val="0"/>
        <w:spacing w:line="276" w:lineRule="auto"/>
        <w:jc w:val="center"/>
        <w:rPr>
          <w:b/>
          <w:bCs/>
        </w:rPr>
      </w:pPr>
    </w:p>
    <w:p w:rsidR="003B6144" w:rsidRPr="00732006" w:rsidRDefault="003B6144" w:rsidP="003B6144">
      <w:pPr>
        <w:pStyle w:val="Default"/>
        <w:widowControl w:val="0"/>
        <w:spacing w:line="276" w:lineRule="auto"/>
        <w:jc w:val="center"/>
        <w:rPr>
          <w:b/>
          <w:bCs/>
        </w:rPr>
      </w:pPr>
      <w:bookmarkStart w:id="0" w:name="_GoBack"/>
      <w:bookmarkEnd w:id="0"/>
      <w:r w:rsidRPr="00732006">
        <w:rPr>
          <w:b/>
          <w:bCs/>
        </w:rPr>
        <w:lastRenderedPageBreak/>
        <w:t>EXHIBIT A</w:t>
      </w:r>
    </w:p>
    <w:p w:rsidR="003B6144" w:rsidRPr="00732006" w:rsidRDefault="003B6144" w:rsidP="003B6144">
      <w:pPr>
        <w:pStyle w:val="Default"/>
        <w:widowControl w:val="0"/>
        <w:spacing w:line="276" w:lineRule="auto"/>
        <w:jc w:val="center"/>
        <w:rPr>
          <w:b/>
          <w:bCs/>
        </w:rPr>
      </w:pPr>
      <w:r>
        <w:rPr>
          <w:b/>
          <w:bCs/>
        </w:rPr>
        <w:t>DONATED SMARTPHONE</w:t>
      </w:r>
      <w:r w:rsidRPr="00732006">
        <w:rPr>
          <w:b/>
          <w:bCs/>
        </w:rPr>
        <w:t xml:space="preserve"> SCHEDULE</w:t>
      </w:r>
    </w:p>
    <w:p w:rsidR="003B6144" w:rsidRDefault="003B6144" w:rsidP="003B6144">
      <w:pPr>
        <w:pStyle w:val="Default"/>
        <w:widowControl w:val="0"/>
        <w:spacing w:line="276" w:lineRule="auto"/>
        <w:rPr>
          <w:b/>
          <w:bCs/>
        </w:rPr>
      </w:pPr>
    </w:p>
    <w:p w:rsidR="003B6144" w:rsidRDefault="003B6144" w:rsidP="003B6144">
      <w:pPr>
        <w:pStyle w:val="Default"/>
        <w:widowControl w:val="0"/>
        <w:spacing w:line="276" w:lineRule="auto"/>
        <w:rPr>
          <w:b/>
          <w:bCs/>
        </w:rPr>
      </w:pPr>
    </w:p>
    <w:p w:rsidR="003B6144" w:rsidRPr="00732006" w:rsidRDefault="003B6144" w:rsidP="003B6144">
      <w:pPr>
        <w:pStyle w:val="Default"/>
        <w:widowControl w:val="0"/>
        <w:spacing w:line="276" w:lineRule="auto"/>
        <w:rPr>
          <w:b/>
          <w:bCs/>
        </w:rPr>
      </w:pPr>
      <w:r>
        <w:rPr>
          <w:b/>
          <w:bCs/>
        </w:rPr>
        <w:t>DETAILED SMARTPHONE INVENTORY</w:t>
      </w:r>
      <w:r w:rsidRPr="00732006">
        <w:rPr>
          <w:b/>
          <w:bCs/>
        </w:rPr>
        <w:t xml:space="preserve"> DESCRIPTION</w:t>
      </w:r>
    </w:p>
    <w:p w:rsidR="003B6144" w:rsidRDefault="003B6144" w:rsidP="003B6144">
      <w:pPr>
        <w:pStyle w:val="Default"/>
        <w:widowControl w:val="0"/>
        <w:spacing w:line="276" w:lineRule="auto"/>
        <w:rPr>
          <w:bCs/>
        </w:rPr>
      </w:pPr>
      <w:r w:rsidRPr="0031008D">
        <w:rPr>
          <w:bCs/>
        </w:rPr>
        <w:t xml:space="preserve">If applicable, list any accessories or peripherals. </w:t>
      </w:r>
    </w:p>
    <w:p w:rsidR="003B6144" w:rsidRDefault="003B6144" w:rsidP="003B6144">
      <w:pPr>
        <w:pStyle w:val="Default"/>
        <w:widowControl w:val="0"/>
        <w:spacing w:line="276" w:lineRule="auto"/>
        <w:rPr>
          <w:bCs/>
        </w:rPr>
      </w:pPr>
    </w:p>
    <w:p w:rsidR="003B6144" w:rsidRDefault="003B6144" w:rsidP="003B6144">
      <w:pPr>
        <w:pStyle w:val="Default"/>
        <w:widowControl w:val="0"/>
        <w:spacing w:line="276" w:lineRule="auto"/>
        <w:rPr>
          <w:bCs/>
        </w:rPr>
      </w:pPr>
    </w:p>
    <w:tbl>
      <w:tblPr>
        <w:tblStyle w:val="TableGrid"/>
        <w:tblW w:w="0" w:type="auto"/>
        <w:tblLook w:val="04A0" w:firstRow="1" w:lastRow="0" w:firstColumn="1" w:lastColumn="0" w:noHBand="0" w:noVBand="1"/>
      </w:tblPr>
      <w:tblGrid>
        <w:gridCol w:w="3110"/>
        <w:gridCol w:w="3113"/>
        <w:gridCol w:w="3127"/>
      </w:tblGrid>
      <w:tr w:rsidR="003B6144" w:rsidTr="004467A6">
        <w:tc>
          <w:tcPr>
            <w:tcW w:w="3192" w:type="dxa"/>
          </w:tcPr>
          <w:p w:rsidR="003B6144" w:rsidRPr="0031008D" w:rsidRDefault="003B6144" w:rsidP="004467A6">
            <w:pPr>
              <w:pStyle w:val="Default"/>
              <w:widowControl w:val="0"/>
              <w:spacing w:line="276" w:lineRule="auto"/>
              <w:jc w:val="center"/>
              <w:rPr>
                <w:b/>
                <w:bCs/>
              </w:rPr>
            </w:pPr>
            <w:r w:rsidRPr="0031008D">
              <w:rPr>
                <w:b/>
                <w:bCs/>
              </w:rPr>
              <w:t>Make</w:t>
            </w:r>
          </w:p>
        </w:tc>
        <w:tc>
          <w:tcPr>
            <w:tcW w:w="3192" w:type="dxa"/>
          </w:tcPr>
          <w:p w:rsidR="003B6144" w:rsidRPr="0031008D" w:rsidRDefault="003B6144" w:rsidP="004467A6">
            <w:pPr>
              <w:pStyle w:val="Default"/>
              <w:widowControl w:val="0"/>
              <w:spacing w:line="276" w:lineRule="auto"/>
              <w:jc w:val="center"/>
              <w:rPr>
                <w:b/>
                <w:bCs/>
              </w:rPr>
            </w:pPr>
            <w:r w:rsidRPr="0031008D">
              <w:rPr>
                <w:b/>
                <w:bCs/>
              </w:rPr>
              <w:t>Model</w:t>
            </w:r>
          </w:p>
        </w:tc>
        <w:tc>
          <w:tcPr>
            <w:tcW w:w="3192" w:type="dxa"/>
          </w:tcPr>
          <w:p w:rsidR="003B6144" w:rsidRPr="0031008D" w:rsidRDefault="003B6144" w:rsidP="004467A6">
            <w:pPr>
              <w:pStyle w:val="Default"/>
              <w:widowControl w:val="0"/>
              <w:spacing w:line="276" w:lineRule="auto"/>
              <w:jc w:val="center"/>
              <w:rPr>
                <w:b/>
                <w:bCs/>
              </w:rPr>
            </w:pPr>
            <w:r w:rsidRPr="0031008D">
              <w:rPr>
                <w:b/>
                <w:bCs/>
              </w:rPr>
              <w:t>Quantity</w:t>
            </w: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r w:rsidR="003B6144" w:rsidTr="004467A6">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c>
          <w:tcPr>
            <w:tcW w:w="3192" w:type="dxa"/>
          </w:tcPr>
          <w:p w:rsidR="003B6144" w:rsidRDefault="003B6144" w:rsidP="004467A6">
            <w:pPr>
              <w:pStyle w:val="Default"/>
              <w:widowControl w:val="0"/>
              <w:spacing w:line="276" w:lineRule="auto"/>
              <w:rPr>
                <w:bCs/>
              </w:rPr>
            </w:pPr>
          </w:p>
        </w:tc>
      </w:tr>
    </w:tbl>
    <w:p w:rsidR="003B6144" w:rsidRDefault="003B6144" w:rsidP="007A5C47">
      <w:pPr>
        <w:jc w:val="center"/>
        <w:rPr>
          <w:rFonts w:ascii="Arial" w:hAnsi="Arial" w:cs="Arial"/>
          <w:b/>
          <w:sz w:val="28"/>
          <w:szCs w:val="28"/>
        </w:rPr>
      </w:pPr>
    </w:p>
    <w:sectPr w:rsidR="003B6144" w:rsidSect="007F62F0">
      <w:pgSz w:w="12240" w:h="15840" w:code="1"/>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5DE3"/>
    <w:multiLevelType w:val="hybridMultilevel"/>
    <w:tmpl w:val="4B764394"/>
    <w:lvl w:ilvl="0" w:tplc="681ED3A0">
      <w:start w:val="1"/>
      <w:numFmt w:val="decimal"/>
      <w:lvlText w:val="%1."/>
      <w:lvlJc w:val="left"/>
      <w:pPr>
        <w:ind w:left="720" w:hanging="360"/>
      </w:pPr>
      <w:rPr>
        <w:rFonts w:ascii="Arial" w:eastAsiaTheme="minorHAnsi" w:hAnsi="Arial" w:cs="Aria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CF7614"/>
    <w:multiLevelType w:val="hybridMultilevel"/>
    <w:tmpl w:val="65F6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47"/>
    <w:rsid w:val="000B05EB"/>
    <w:rsid w:val="00193A0D"/>
    <w:rsid w:val="00202515"/>
    <w:rsid w:val="00212AA8"/>
    <w:rsid w:val="00310EA8"/>
    <w:rsid w:val="003B6144"/>
    <w:rsid w:val="004C3C6B"/>
    <w:rsid w:val="004F09BB"/>
    <w:rsid w:val="005A1AEB"/>
    <w:rsid w:val="005E3F1D"/>
    <w:rsid w:val="007A5C47"/>
    <w:rsid w:val="007F62F0"/>
    <w:rsid w:val="008F7541"/>
    <w:rsid w:val="00BF22C6"/>
    <w:rsid w:val="00CA25ED"/>
    <w:rsid w:val="00D90A00"/>
    <w:rsid w:val="00DC53B8"/>
    <w:rsid w:val="00E02B81"/>
    <w:rsid w:val="00EE07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35CF-03BE-4EEE-BE90-7C778E81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5EB"/>
    <w:pPr>
      <w:ind w:left="720"/>
      <w:contextualSpacing/>
    </w:pPr>
  </w:style>
  <w:style w:type="table" w:styleId="TableGrid">
    <w:name w:val="Table Grid"/>
    <w:basedOn w:val="TableNormal"/>
    <w:uiPriority w:val="59"/>
    <w:unhideWhenUsed/>
    <w:rsid w:val="003B6144"/>
    <w:pPr>
      <w:spacing w:after="0" w:line="240" w:lineRule="auto"/>
    </w:pPr>
    <w:rPr>
      <w:rFonts w:ascii="Verdana" w:eastAsiaTheme="minorEastAsia" w:hAnsi="Verdan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144"/>
    <w:pPr>
      <w:autoSpaceDE w:val="0"/>
      <w:autoSpaceDN w:val="0"/>
      <w:adjustRightInd w:val="0"/>
      <w:spacing w:after="0" w:line="240" w:lineRule="auto"/>
    </w:pPr>
    <w:rPr>
      <w:rFonts w:ascii="Verdana" w:eastAsia="Times New Roman" w:hAnsi="Verdana" w:cs="Verdana"/>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Holmes</dc:creator>
  <cp:keywords/>
  <dc:description/>
  <cp:lastModifiedBy>Jeff Holmes</cp:lastModifiedBy>
  <cp:revision>3</cp:revision>
  <dcterms:created xsi:type="dcterms:W3CDTF">2018-09-18T14:55:00Z</dcterms:created>
  <dcterms:modified xsi:type="dcterms:W3CDTF">2018-09-18T14:56:00Z</dcterms:modified>
</cp:coreProperties>
</file>